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2B5F" w14:textId="626C44F6" w:rsidR="00320846" w:rsidRDefault="00232BCB" w:rsidP="003A7306">
      <w:pPr>
        <w:jc w:val="center"/>
        <w:rPr>
          <w:b/>
          <w:bCs/>
          <w:color w:val="C45911" w:themeColor="accent2" w:themeShade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59E925" wp14:editId="180898AF">
            <wp:simplePos x="0" y="0"/>
            <wp:positionH relativeFrom="column">
              <wp:posOffset>-114539</wp:posOffset>
            </wp:positionH>
            <wp:positionV relativeFrom="paragraph">
              <wp:posOffset>-112143</wp:posOffset>
            </wp:positionV>
            <wp:extent cx="1172184" cy="79375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84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7CD8">
        <w:rPr>
          <w:rFonts w:ascii="Arial" w:hAnsi="Arial" w:cs="Arial"/>
          <w:b/>
          <w:bCs/>
          <w:noProof/>
          <w:color w:val="C45911" w:themeColor="accent2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91F507" wp14:editId="7F6D59AF">
            <wp:simplePos x="0" y="0"/>
            <wp:positionH relativeFrom="margin">
              <wp:align>right</wp:align>
            </wp:positionH>
            <wp:positionV relativeFrom="paragraph">
              <wp:posOffset>-132859</wp:posOffset>
            </wp:positionV>
            <wp:extent cx="923925" cy="718185"/>
            <wp:effectExtent l="0" t="0" r="9525" b="5715"/>
            <wp:wrapNone/>
            <wp:docPr id="4" name="Picture 4" descr="Pea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rs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5DB">
        <w:rPr>
          <w:b/>
          <w:bCs/>
          <w:color w:val="C45911" w:themeColor="accent2" w:themeShade="BF"/>
          <w:sz w:val="44"/>
          <w:szCs w:val="44"/>
        </w:rPr>
        <w:t>PE</w:t>
      </w:r>
      <w:r w:rsidR="00372F65" w:rsidRPr="002C7CD8">
        <w:rPr>
          <w:b/>
          <w:bCs/>
          <w:color w:val="C45911" w:themeColor="accent2" w:themeShade="BF"/>
          <w:sz w:val="44"/>
          <w:szCs w:val="44"/>
        </w:rPr>
        <w:t xml:space="preserve"> at </w:t>
      </w:r>
      <w:r w:rsidR="00392662" w:rsidRPr="002C7CD8">
        <w:rPr>
          <w:b/>
          <w:bCs/>
          <w:color w:val="C45911" w:themeColor="accent2" w:themeShade="BF"/>
          <w:sz w:val="44"/>
          <w:szCs w:val="44"/>
        </w:rPr>
        <w:t>Pearson Primary School</w:t>
      </w:r>
    </w:p>
    <w:p w14:paraId="12FB7F07" w14:textId="77777777" w:rsidR="00232BCB" w:rsidRPr="002C7CD8" w:rsidRDefault="00232BCB" w:rsidP="003A7306">
      <w:pPr>
        <w:jc w:val="center"/>
        <w:rPr>
          <w:b/>
          <w:bCs/>
          <w:color w:val="C45911" w:themeColor="accent2" w:themeShade="BF"/>
          <w:sz w:val="44"/>
          <w:szCs w:val="44"/>
        </w:rPr>
      </w:pPr>
    </w:p>
    <w:tbl>
      <w:tblPr>
        <w:tblStyle w:val="GridTable4-Accent21"/>
        <w:tblW w:w="11057" w:type="dxa"/>
        <w:tblInd w:w="-289" w:type="dxa"/>
        <w:tblLook w:val="04A0" w:firstRow="1" w:lastRow="0" w:firstColumn="1" w:lastColumn="0" w:noHBand="0" w:noVBand="1"/>
      </w:tblPr>
      <w:tblGrid>
        <w:gridCol w:w="6015"/>
        <w:gridCol w:w="5042"/>
      </w:tblGrid>
      <w:tr w:rsidR="002F0CE5" w:rsidRPr="00340619" w14:paraId="279D881F" w14:textId="77777777" w:rsidTr="261BB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4B083" w:themeFill="accent2" w:themeFillTint="99"/>
          </w:tcPr>
          <w:p w14:paraId="1C3C071D" w14:textId="6B9B0989" w:rsidR="002F0CE5" w:rsidRPr="00340619" w:rsidRDefault="002F0CE5" w:rsidP="00340619">
            <w:pPr>
              <w:jc w:val="both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</w:pPr>
            <w:r w:rsidRPr="00340619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Intent</w:t>
            </w:r>
          </w:p>
          <w:p w14:paraId="66E62EC7" w14:textId="09F70984" w:rsidR="00A37A70" w:rsidRPr="00340619" w:rsidRDefault="008415DB" w:rsidP="00340619">
            <w:pPr>
              <w:jc w:val="both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>Physical Education (PE), experienced in a safe and supportive environment, is essential to ensure children attain a good physical development, emotional development</w:t>
            </w:r>
            <w:r w:rsid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>,</w:t>
            </w:r>
            <w:r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 xml:space="preserve"> and good </w:t>
            </w:r>
            <w:r w:rsidR="00A6516A"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 xml:space="preserve">level of </w:t>
            </w:r>
            <w:r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>health/fitness. We intend to d</w:t>
            </w:r>
            <w:r w:rsidR="00A6516A"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>eliver high-quality teaching,</w:t>
            </w:r>
            <w:r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 xml:space="preserve"> learning opportunities</w:t>
            </w:r>
            <w:r w:rsidR="00A6516A"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 xml:space="preserve"> and wider experiences</w:t>
            </w:r>
            <w:r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 xml:space="preserve"> that inspire all children to succeed physical</w:t>
            </w:r>
            <w:r w:rsidR="00A6516A"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>ly</w:t>
            </w:r>
            <w:r w:rsidR="00B959FB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>,</w:t>
            </w:r>
            <w:r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 xml:space="preserve"> and in developing life skills. We want to teach children skills to keep them safe</w:t>
            </w:r>
            <w:r w:rsidR="00B959FB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>,</w:t>
            </w:r>
            <w:r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 xml:space="preserve"> such as being able to swim.  We also want to teach children how to compete individually or as part of a team; </w:t>
            </w:r>
            <w:r w:rsidR="00AF05A2"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 xml:space="preserve">and </w:t>
            </w:r>
            <w:r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 xml:space="preserve">take part </w:t>
            </w:r>
            <w:r w:rsidR="00AF05A2"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>in physical activity showing passion,</w:t>
            </w:r>
            <w:r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 xml:space="preserve"> honesty and determination. Our curriculum aims to improve the wellbeing and fitness of all children at </w:t>
            </w:r>
            <w:r w:rsidR="00AF05A2"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>Pearson</w:t>
            </w:r>
            <w:r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 xml:space="preserve">, not only through the sporting skills taught, but through </w:t>
            </w:r>
            <w:r w:rsidR="00AF05A2"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>the values that sport and physical activity promote</w:t>
            </w:r>
            <w:r w:rsidR="00A6516A"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>, including the School Games Values of Honesty, Determination, Teamwork, Passion, Respect and Self Belief</w:t>
            </w:r>
            <w:r w:rsidRPr="00340619">
              <w:rPr>
                <w:rFonts w:cstheme="minorHAnsi"/>
                <w:b w:val="0"/>
                <w:color w:val="auto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2F0CE5" w:rsidRPr="00340619" w14:paraId="7017A289" w14:textId="77777777" w:rsidTr="261BB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</w:tcPr>
          <w:p w14:paraId="11A7AA59" w14:textId="77777777" w:rsidR="002F0CE5" w:rsidRPr="00340619" w:rsidRDefault="00DF6DC1" w:rsidP="00537BC1">
            <w:pPr>
              <w:jc w:val="both"/>
              <w:rPr>
                <w:rFonts w:cstheme="minorHAnsi"/>
                <w:b w:val="0"/>
                <w:color w:val="000000" w:themeColor="text1"/>
                <w:sz w:val="20"/>
                <w:szCs w:val="20"/>
                <w:u w:val="single"/>
              </w:rPr>
            </w:pPr>
            <w:r w:rsidRPr="00340619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Implementation </w:t>
            </w:r>
          </w:p>
          <w:p w14:paraId="7ACA6B79" w14:textId="77777777" w:rsidR="00606C53" w:rsidRPr="00606C53" w:rsidRDefault="00606C53" w:rsidP="00606C53">
            <w:pPr>
              <w:numPr>
                <w:ilvl w:val="0"/>
                <w:numId w:val="7"/>
              </w:numPr>
              <w:jc w:val="both"/>
              <w:textAlignment w:val="top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PE at Pearson provides challenging and enjoyable learning through a range of sporting activities: invasion games; net and wall games; striking/fielding games; gymnastics; dance; swimming; and outdoor and adventurous activities.</w:t>
            </w:r>
          </w:p>
          <w:p w14:paraId="428A06B4" w14:textId="77777777" w:rsidR="00606C53" w:rsidRPr="00606C53" w:rsidRDefault="00606C53" w:rsidP="00606C53">
            <w:pPr>
              <w:numPr>
                <w:ilvl w:val="0"/>
                <w:numId w:val="7"/>
              </w:numPr>
              <w:spacing w:line="259" w:lineRule="auto"/>
              <w:jc w:val="both"/>
              <w:textAlignment w:val="top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The long-term plan sets out the PE units that are to be taught throughout the year and ensures that the requirements of the National Curriculum are fully met.</w:t>
            </w:r>
          </w:p>
          <w:p w14:paraId="44300A12" w14:textId="6E77DC6A" w:rsidR="00606C53" w:rsidRPr="00606C53" w:rsidRDefault="00606C53" w:rsidP="00606C53">
            <w:pPr>
              <w:numPr>
                <w:ilvl w:val="0"/>
                <w:numId w:val="7"/>
              </w:numPr>
              <w:spacing w:line="259" w:lineRule="auto"/>
              <w:jc w:val="both"/>
              <w:textAlignment w:val="top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Pupils participate in two</w:t>
            </w:r>
            <w:r w:rsidR="007F1125">
              <w:rPr>
                <w:rFonts w:eastAsia="Times New Roman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hours of</w:t>
            </w: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high-quality PE lessons each week. In addition, children are encouraged to participate in the varied range of extra-curricular activities after school or at lunchtime. </w:t>
            </w:r>
          </w:p>
          <w:p w14:paraId="01FF36D9" w14:textId="77777777" w:rsidR="00606C53" w:rsidRPr="00606C53" w:rsidRDefault="00606C53" w:rsidP="00606C53">
            <w:pPr>
              <w:numPr>
                <w:ilvl w:val="0"/>
                <w:numId w:val="7"/>
              </w:numPr>
              <w:spacing w:line="259" w:lineRule="auto"/>
              <w:jc w:val="both"/>
              <w:textAlignment w:val="top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Foundation stage develop fitness and motor skills through acquisition of a wide variety of play equipment, with provision reviewed yearly. </w:t>
            </w:r>
          </w:p>
          <w:p w14:paraId="36E7E24C" w14:textId="77777777" w:rsidR="00606C53" w:rsidRPr="00606C53" w:rsidRDefault="00606C53" w:rsidP="00606C53">
            <w:pPr>
              <w:numPr>
                <w:ilvl w:val="0"/>
                <w:numId w:val="7"/>
              </w:numPr>
              <w:spacing w:line="259" w:lineRule="auto"/>
              <w:jc w:val="both"/>
              <w:textAlignment w:val="top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Children in Year 4 swim for 7.5 hours (10 x 45 minutes) through a Hull City Council provided SLS. We use Sports Premium funding to provide extra – trebling this swimming offer – providing lessons for Y3 and Y5 too. Year 5 pupils take Bikeability training as well.</w:t>
            </w:r>
          </w:p>
          <w:p w14:paraId="78E151AE" w14:textId="77777777" w:rsidR="00606C53" w:rsidRPr="00606C53" w:rsidRDefault="00606C53" w:rsidP="00606C53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  <w:textAlignment w:val="top"/>
              <w:rPr>
                <w:rFonts w:eastAsia="Times New Roman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KS2 take part in a weekly HIIT work-out - developing fitness, strength and stamina. </w:t>
            </w:r>
          </w:p>
          <w:p w14:paraId="77076968" w14:textId="225B6D57" w:rsidR="00606C53" w:rsidRPr="00606C53" w:rsidRDefault="00606C53" w:rsidP="00606C53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Through our PE curriculum, we are developing the inclusion of pupil leadership into all lessons. Through a unit of work, pupils will develop their leadership of the warm-up and other small group parts of the lesson.</w:t>
            </w: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 xml:space="preserve"> </w:t>
            </w:r>
            <w:r w:rsidR="008B3673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Year 6 pupils</w:t>
            </w: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 xml:space="preserve"> are trained</w:t>
            </w:r>
            <w:r w:rsidR="00B23617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 xml:space="preserve"> in Sports Leadership Level One</w:t>
            </w: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 xml:space="preserve"> and are coached to begin to manage small sporting activities at lunchtimes through the week.</w:t>
            </w:r>
          </w:p>
          <w:p w14:paraId="7263BBE1" w14:textId="77777777" w:rsidR="00606C53" w:rsidRPr="00606C53" w:rsidRDefault="00606C53" w:rsidP="00606C53">
            <w:pPr>
              <w:numPr>
                <w:ilvl w:val="0"/>
                <w:numId w:val="7"/>
              </w:numPr>
              <w:spacing w:line="259" w:lineRule="auto"/>
              <w:jc w:val="both"/>
              <w:textAlignment w:val="top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We provide opportunity for all children to represent the school in competitive L2 sport with other near-by schools (KS2 = 3 x per year, KS1 = 1 x per year). We also provide L2 sporting opportunities for targeted SEND and underactive pupils. </w:t>
            </w:r>
          </w:p>
          <w:p w14:paraId="13138D12" w14:textId="35F8DF39" w:rsidR="00EB69C8" w:rsidRPr="00606C53" w:rsidRDefault="00606C53" w:rsidP="00606C53">
            <w:pPr>
              <w:numPr>
                <w:ilvl w:val="0"/>
                <w:numId w:val="7"/>
              </w:numPr>
              <w:spacing w:line="259" w:lineRule="auto"/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Children are invited to attend competitive sporting events within the</w:t>
            </w:r>
            <w:r w:rsidRPr="00D52DFE">
              <w:rPr>
                <w:rFonts w:eastAsia="Times New Roman" w:cstheme="minorHAnsi"/>
                <w:bCs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06C53">
              <w:rPr>
                <w:rFonts w:eastAsia="Times New Roman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local area. More-able pupils are targeted for L2 events (city) aiming to qualify for L3 (regional) events.</w:t>
            </w:r>
            <w:r w:rsidRPr="00D52DFE">
              <w:rPr>
                <w:rFonts w:eastAsia="Times New Roman" w:cstheme="minorHAnsi"/>
                <w:bCs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E67C16" w:rsidRPr="00340619" w14:paraId="0E29F052" w14:textId="77777777" w:rsidTr="261BB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4B083" w:themeFill="accent2" w:themeFillTint="99"/>
          </w:tcPr>
          <w:p w14:paraId="42FA601E" w14:textId="77777777" w:rsidR="00E67C16" w:rsidRPr="00340619" w:rsidRDefault="00E67C16" w:rsidP="00232BC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340619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Impact</w:t>
            </w:r>
          </w:p>
          <w:p w14:paraId="14546CD1" w14:textId="4E95F55C" w:rsidR="00DF6DC1" w:rsidRPr="00340619" w:rsidRDefault="00650A40" w:rsidP="00232BC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We use a variety of strategies to evaluate the knowledge, skills and understanding that our pupils have gained in each unit</w:t>
            </w:r>
            <w:r w:rsidR="00DF7AA6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, including</w:t>
            </w:r>
            <w:r w:rsidR="00F211A8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; pre and post </w:t>
            </w:r>
            <w:r w:rsidR="007E0C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assessment of units,</w:t>
            </w:r>
            <w:r w:rsidR="00CE1583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0D7EBB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questioning </w:t>
            </w:r>
            <w:r w:rsidR="00071A12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lesson by lesson, weekly </w:t>
            </w:r>
            <w:r w:rsidR="007E0CA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reviews of previous learning, peer assessment against success criteria, pupil/teacher demonstrations, and use of example clips</w:t>
            </w:r>
            <w:r w:rsidR="00C570FD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  <w:p w14:paraId="61F2426B" w14:textId="6C057CF9" w:rsidR="00CE1583" w:rsidRPr="00340619" w:rsidRDefault="009E18FB" w:rsidP="00232BC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Evidence of this learning will be recorded </w:t>
            </w:r>
            <w:r w:rsidR="00EB69C8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through digital means – filming targeted children, aiming to demonstrate progress between a start of unit task and an end of unit task -</w:t>
            </w:r>
            <w:r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and</w:t>
            </w:r>
            <w:r w:rsidR="0016002F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will form the basis of moderation within the year at school. </w:t>
            </w:r>
          </w:p>
          <w:p w14:paraId="01680239" w14:textId="21B8C245" w:rsidR="00DF6DC1" w:rsidRPr="00340619" w:rsidRDefault="001C0412" w:rsidP="261BBAE2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Leaders will monitor the quality and impact of the </w:t>
            </w:r>
            <w:r w:rsidR="00EB69C8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>PE</w:t>
            </w:r>
            <w:r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Curriculum through</w:t>
            </w:r>
            <w:r w:rsidR="005C4A01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regular</w:t>
            </w:r>
            <w:r w:rsidR="00650A40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EB69C8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>check-ins, observations, evidence check</w:t>
            </w:r>
            <w:r w:rsidR="00681CCA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="0016002F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and pupil voice</w:t>
            </w:r>
            <w:r w:rsidR="005C4A01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to assess the extent to which pupils know more and remember more. </w:t>
            </w:r>
            <w:r w:rsidR="00650A40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67C16" w:rsidRPr="00340619" w14:paraId="510D236A" w14:textId="77777777" w:rsidTr="261BB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</w:tcPr>
          <w:p w14:paraId="616C979F" w14:textId="77777777" w:rsidR="00E67C16" w:rsidRPr="00340619" w:rsidRDefault="00E67C16" w:rsidP="00681CC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340619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SEND</w:t>
            </w:r>
          </w:p>
          <w:p w14:paraId="4C32B9C2" w14:textId="185396F7" w:rsidR="00681CCA" w:rsidRPr="00340619" w:rsidRDefault="002B6533" w:rsidP="261BBAE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Our ambition is for all our pupils to access the full </w:t>
            </w:r>
            <w:r w:rsidR="00EB69C8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PE </w:t>
            </w:r>
            <w:r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Curriculum. </w:t>
            </w:r>
            <w:r w:rsidR="003579EE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>P</w:t>
            </w:r>
            <w:r w:rsidR="00EB69C8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>E tasks will be differentiated for less and more-able pupils through the STEP principle</w:t>
            </w:r>
            <w:r w:rsidR="004C024E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>, which includes adapting to a more suitable Space, suitable Time, suitable Equipment (e</w:t>
            </w:r>
            <w:r w:rsidR="00823A50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4C024E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>g. more suitable size, shape or tactile ball – or even using a bean-bag instead) or number of Participants</w:t>
            </w:r>
            <w:r w:rsidR="00EB69C8"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</w:tr>
      <w:tr w:rsidR="00E80D5E" w:rsidRPr="00340619" w14:paraId="511FBC1F" w14:textId="77777777" w:rsidTr="261BB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5" w:type="dxa"/>
            <w:shd w:val="clear" w:color="auto" w:fill="F4B083" w:themeFill="accent2" w:themeFillTint="99"/>
          </w:tcPr>
          <w:p w14:paraId="000E36B0" w14:textId="46A06CD2" w:rsidR="00E80D5E" w:rsidRPr="00340619" w:rsidRDefault="00E80D5E" w:rsidP="00320846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</w:pPr>
            <w:r w:rsidRPr="00340619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Sequence </w:t>
            </w:r>
            <w:r w:rsidR="00DF6DC1" w:rsidRPr="00340619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–</w:t>
            </w:r>
            <w:r w:rsidRPr="00340619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Unit</w:t>
            </w:r>
          </w:p>
          <w:p w14:paraId="54986425" w14:textId="6EC1A3CF" w:rsidR="00DF6DC1" w:rsidRPr="00340619" w:rsidRDefault="001A4ED6" w:rsidP="0032084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Pre-assessment</w:t>
            </w:r>
            <w:r w:rsidR="008967AF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recorded and saved, against the unit assessment. 3 to 5 focus pupils of BA, A and AA expected level.</w:t>
            </w:r>
          </w:p>
          <w:p w14:paraId="6CFC8E00" w14:textId="35B40B51" w:rsidR="008967AF" w:rsidRPr="00340619" w:rsidRDefault="008967AF" w:rsidP="0032084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Activities and games chosen to </w:t>
            </w:r>
            <w:r w:rsidR="003B2212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develop sk</w:t>
            </w:r>
            <w:r w:rsidR="00744CDC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ills and knowledge of the sport</w:t>
            </w:r>
            <w:r w:rsidR="003B2212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that build</w:t>
            </w:r>
            <w:r w:rsidR="00744CDC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="003B2212" w:rsidRPr="0034061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from lesson to lesson.</w:t>
            </w:r>
          </w:p>
          <w:p w14:paraId="30889A91" w14:textId="4FF2DC34" w:rsidR="008967AF" w:rsidRPr="00340619" w:rsidRDefault="008967AF" w:rsidP="261BBAE2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>End of same unit assessment, recording same pupils and demonstrating progress.</w:t>
            </w:r>
          </w:p>
          <w:p w14:paraId="353A84A1" w14:textId="5B0C3FBF" w:rsidR="008967AF" w:rsidRPr="00340619" w:rsidRDefault="261BBAE2" w:rsidP="261BBAE2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>Build in pupil leadership – through repeated modelling of a simple warm up which pupils can then lead from ie session 3; and peer points ratings assessment against tight success criteria.</w:t>
            </w:r>
          </w:p>
          <w:p w14:paraId="30F7D349" w14:textId="1C5D8794" w:rsidR="008967AF" w:rsidRPr="00340619" w:rsidRDefault="261BBAE2" w:rsidP="261BBAE2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261BBAE2">
              <w:rPr>
                <w:b w:val="0"/>
                <w:bCs w:val="0"/>
                <w:color w:val="000000" w:themeColor="text1"/>
                <w:sz w:val="20"/>
                <w:szCs w:val="20"/>
              </w:rPr>
              <w:t>Differentiation through STEP principal – amend the activity by altering any of: Space, Time, Equipment, People</w:t>
            </w:r>
          </w:p>
        </w:tc>
        <w:tc>
          <w:tcPr>
            <w:tcW w:w="5042" w:type="dxa"/>
            <w:shd w:val="clear" w:color="auto" w:fill="F4B083" w:themeFill="accent2" w:themeFillTint="99"/>
          </w:tcPr>
          <w:p w14:paraId="06B2DA38" w14:textId="0662F05C" w:rsidR="00E80D5E" w:rsidRPr="00340619" w:rsidRDefault="00E80D5E" w:rsidP="0032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40619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Sequence </w:t>
            </w:r>
            <w:r w:rsidR="00052834" w:rsidRPr="00340619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–</w:t>
            </w:r>
            <w:r w:rsidRPr="00340619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Lesson</w:t>
            </w:r>
          </w:p>
          <w:p w14:paraId="1CABA076" w14:textId="2D24B038" w:rsidR="00744CDC" w:rsidRPr="00340619" w:rsidRDefault="00744CDC" w:rsidP="0032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4061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 focus dependent and at teacher’s discretion</w:t>
            </w:r>
            <w:r w:rsidR="001A4ED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. A</w:t>
            </w:r>
            <w:r w:rsidRPr="0034061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typical lesson may </w:t>
            </w:r>
            <w:r w:rsidR="001A4ED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follow this suggested sequence</w:t>
            </w:r>
            <w:r w:rsidRPr="0034061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4FC571ED" w14:textId="5BC286C3" w:rsidR="003B2212" w:rsidRPr="00340619" w:rsidRDefault="003B2212" w:rsidP="003B221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40619">
              <w:rPr>
                <w:rFonts w:cstheme="minorHAnsi"/>
                <w:bCs/>
                <w:color w:val="000000" w:themeColor="text1"/>
                <w:sz w:val="20"/>
                <w:szCs w:val="20"/>
              </w:rPr>
              <w:t>Warm up</w:t>
            </w:r>
            <w:r w:rsidR="00744CDC" w:rsidRPr="0034061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1A4ED6">
              <w:rPr>
                <w:rFonts w:cstheme="minorHAnsi"/>
                <w:bCs/>
                <w:color w:val="000000" w:themeColor="text1"/>
                <w:sz w:val="20"/>
                <w:szCs w:val="20"/>
              </w:rPr>
              <w:t>c</w:t>
            </w:r>
            <w:r w:rsidR="00744CDC" w:rsidRPr="00340619">
              <w:rPr>
                <w:rFonts w:cstheme="minorHAnsi"/>
                <w:bCs/>
                <w:color w:val="000000" w:themeColor="text1"/>
                <w:sz w:val="20"/>
                <w:szCs w:val="20"/>
              </w:rPr>
              <w:t>hild led towards 2</w:t>
            </w:r>
            <w:r w:rsidR="00744CDC" w:rsidRPr="00340619">
              <w:rPr>
                <w:rFonts w:cstheme="minorHAnsi"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744CDC" w:rsidRPr="0034061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half of unit)</w:t>
            </w:r>
            <w:r w:rsidR="002C7CF7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3417EE59" w14:textId="50B8CCF7" w:rsidR="00744CDC" w:rsidRPr="00340619" w:rsidRDefault="00744CDC" w:rsidP="003B221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40619">
              <w:rPr>
                <w:rFonts w:cstheme="minorHAnsi"/>
                <w:bCs/>
                <w:color w:val="000000" w:themeColor="text1"/>
                <w:sz w:val="20"/>
                <w:szCs w:val="20"/>
              </w:rPr>
              <w:t>Demonstration and skill practise</w:t>
            </w:r>
            <w:r w:rsidR="002C7CF7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4B69E0C5" w14:textId="0F9B8E20" w:rsidR="00744CDC" w:rsidRPr="00340619" w:rsidRDefault="00744CDC" w:rsidP="003B221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40619">
              <w:rPr>
                <w:rFonts w:cstheme="minorHAnsi"/>
                <w:bCs/>
                <w:color w:val="000000" w:themeColor="text1"/>
                <w:sz w:val="20"/>
                <w:szCs w:val="20"/>
              </w:rPr>
              <w:t>Child/group demonstration with peer feedback against success criteria.</w:t>
            </w:r>
          </w:p>
          <w:p w14:paraId="1111A729" w14:textId="4BACFABF" w:rsidR="00744CDC" w:rsidRPr="00340619" w:rsidRDefault="00744CDC" w:rsidP="00744CD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40619">
              <w:rPr>
                <w:rFonts w:cstheme="minorHAnsi"/>
                <w:bCs/>
                <w:color w:val="000000" w:themeColor="text1"/>
                <w:sz w:val="20"/>
                <w:szCs w:val="20"/>
              </w:rPr>
              <w:t>Application &amp; improvement using pointers from demonstrat</w:t>
            </w:r>
            <w:r w:rsidR="002C7CF7">
              <w:rPr>
                <w:rFonts w:cstheme="minorHAnsi"/>
                <w:bCs/>
                <w:color w:val="000000" w:themeColor="text1"/>
                <w:sz w:val="20"/>
                <w:szCs w:val="20"/>
              </w:rPr>
              <w:t>ion</w:t>
            </w:r>
            <w:r w:rsidRPr="00340619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1AC34AF8" w14:textId="0F5A1CB5" w:rsidR="00744CDC" w:rsidRPr="00843D84" w:rsidRDefault="00744CDC" w:rsidP="00843D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40619">
              <w:rPr>
                <w:rFonts w:cstheme="minorHAnsi"/>
                <w:bCs/>
                <w:color w:val="000000" w:themeColor="text1"/>
                <w:sz w:val="20"/>
                <w:szCs w:val="20"/>
              </w:rPr>
              <w:t>Skills application in further activity/game situation.</w:t>
            </w:r>
          </w:p>
        </w:tc>
      </w:tr>
    </w:tbl>
    <w:p w14:paraId="18954128" w14:textId="77777777" w:rsidR="00320846" w:rsidRPr="00E86B19" w:rsidRDefault="00320846" w:rsidP="00320846">
      <w:pPr>
        <w:rPr>
          <w:sz w:val="32"/>
          <w:szCs w:val="44"/>
        </w:rPr>
      </w:pPr>
    </w:p>
    <w:sectPr w:rsidR="00320846" w:rsidRPr="00E86B19" w:rsidSect="00232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F47"/>
    <w:multiLevelType w:val="multilevel"/>
    <w:tmpl w:val="418C0CC4"/>
    <w:lvl w:ilvl="0">
      <w:start w:val="1"/>
      <w:numFmt w:val="bullet"/>
      <w:lvlText w:val=""/>
      <w:lvlJc w:val="left"/>
      <w:pPr>
        <w:tabs>
          <w:tab w:val="num" w:pos="-515"/>
        </w:tabs>
        <w:ind w:left="-5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5"/>
        </w:tabs>
        <w:ind w:left="2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45"/>
        </w:tabs>
        <w:ind w:left="16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65"/>
        </w:tabs>
        <w:ind w:left="23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25"/>
        </w:tabs>
        <w:ind w:left="45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C6A05"/>
    <w:multiLevelType w:val="multilevel"/>
    <w:tmpl w:val="2C283E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7459F"/>
    <w:multiLevelType w:val="hybridMultilevel"/>
    <w:tmpl w:val="592EA6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931FD"/>
    <w:multiLevelType w:val="hybridMultilevel"/>
    <w:tmpl w:val="F76A65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10F49"/>
    <w:multiLevelType w:val="hybridMultilevel"/>
    <w:tmpl w:val="3DE6F9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776C7"/>
    <w:multiLevelType w:val="hybridMultilevel"/>
    <w:tmpl w:val="21AACB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437FAB"/>
    <w:multiLevelType w:val="hybridMultilevel"/>
    <w:tmpl w:val="3632ADF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0CA"/>
    <w:rsid w:val="000442AE"/>
    <w:rsid w:val="00052834"/>
    <w:rsid w:val="00071A12"/>
    <w:rsid w:val="00095A8C"/>
    <w:rsid w:val="000A0F2A"/>
    <w:rsid w:val="000D7EBB"/>
    <w:rsid w:val="00111141"/>
    <w:rsid w:val="00113CE0"/>
    <w:rsid w:val="001179BB"/>
    <w:rsid w:val="00124392"/>
    <w:rsid w:val="00140D0F"/>
    <w:rsid w:val="0016002F"/>
    <w:rsid w:val="001774AC"/>
    <w:rsid w:val="0018358E"/>
    <w:rsid w:val="001A14C1"/>
    <w:rsid w:val="001A4ED6"/>
    <w:rsid w:val="001B414F"/>
    <w:rsid w:val="001C0412"/>
    <w:rsid w:val="00215392"/>
    <w:rsid w:val="0021675D"/>
    <w:rsid w:val="002249EF"/>
    <w:rsid w:val="00232BCB"/>
    <w:rsid w:val="00294BF1"/>
    <w:rsid w:val="002B6533"/>
    <w:rsid w:val="002C2764"/>
    <w:rsid w:val="002C7CD8"/>
    <w:rsid w:val="002C7CF7"/>
    <w:rsid w:val="002E605F"/>
    <w:rsid w:val="002F0CE5"/>
    <w:rsid w:val="00320846"/>
    <w:rsid w:val="003301F9"/>
    <w:rsid w:val="00340619"/>
    <w:rsid w:val="00350B9F"/>
    <w:rsid w:val="003579EE"/>
    <w:rsid w:val="00362F84"/>
    <w:rsid w:val="00372F65"/>
    <w:rsid w:val="00392662"/>
    <w:rsid w:val="003962D3"/>
    <w:rsid w:val="003A7306"/>
    <w:rsid w:val="003B2212"/>
    <w:rsid w:val="00421B52"/>
    <w:rsid w:val="00477F46"/>
    <w:rsid w:val="004C024E"/>
    <w:rsid w:val="004E40F2"/>
    <w:rsid w:val="00511F03"/>
    <w:rsid w:val="00521C1D"/>
    <w:rsid w:val="00524621"/>
    <w:rsid w:val="00537BC1"/>
    <w:rsid w:val="00581E51"/>
    <w:rsid w:val="0058326F"/>
    <w:rsid w:val="005A6342"/>
    <w:rsid w:val="005C4A01"/>
    <w:rsid w:val="005F195F"/>
    <w:rsid w:val="00606C53"/>
    <w:rsid w:val="006329F8"/>
    <w:rsid w:val="00646FD5"/>
    <w:rsid w:val="00650A40"/>
    <w:rsid w:val="006542EF"/>
    <w:rsid w:val="00662573"/>
    <w:rsid w:val="00681CCA"/>
    <w:rsid w:val="006E7806"/>
    <w:rsid w:val="006F4A47"/>
    <w:rsid w:val="006F7113"/>
    <w:rsid w:val="007220CA"/>
    <w:rsid w:val="00724492"/>
    <w:rsid w:val="00744CDC"/>
    <w:rsid w:val="007463A1"/>
    <w:rsid w:val="007B3BDC"/>
    <w:rsid w:val="007B5583"/>
    <w:rsid w:val="007C4AF2"/>
    <w:rsid w:val="007D0BBE"/>
    <w:rsid w:val="007D4CC2"/>
    <w:rsid w:val="007E0CA4"/>
    <w:rsid w:val="007F1125"/>
    <w:rsid w:val="007F6BE4"/>
    <w:rsid w:val="00823A50"/>
    <w:rsid w:val="008415DB"/>
    <w:rsid w:val="00843D84"/>
    <w:rsid w:val="008967AF"/>
    <w:rsid w:val="008A5768"/>
    <w:rsid w:val="008B3673"/>
    <w:rsid w:val="008D07E6"/>
    <w:rsid w:val="00994B9E"/>
    <w:rsid w:val="009E18FB"/>
    <w:rsid w:val="009E1C1D"/>
    <w:rsid w:val="00A00652"/>
    <w:rsid w:val="00A11A9D"/>
    <w:rsid w:val="00A16080"/>
    <w:rsid w:val="00A3258E"/>
    <w:rsid w:val="00A35C7E"/>
    <w:rsid w:val="00A37A70"/>
    <w:rsid w:val="00A539E2"/>
    <w:rsid w:val="00A6516A"/>
    <w:rsid w:val="00AA5FA2"/>
    <w:rsid w:val="00AC770D"/>
    <w:rsid w:val="00AD0163"/>
    <w:rsid w:val="00AF05A2"/>
    <w:rsid w:val="00B23617"/>
    <w:rsid w:val="00B53329"/>
    <w:rsid w:val="00B554C2"/>
    <w:rsid w:val="00B700E7"/>
    <w:rsid w:val="00B959FB"/>
    <w:rsid w:val="00BC277E"/>
    <w:rsid w:val="00BC75CE"/>
    <w:rsid w:val="00BE5D7C"/>
    <w:rsid w:val="00C37699"/>
    <w:rsid w:val="00C426D3"/>
    <w:rsid w:val="00C46179"/>
    <w:rsid w:val="00C567C4"/>
    <w:rsid w:val="00C570FD"/>
    <w:rsid w:val="00CB2DBF"/>
    <w:rsid w:val="00CE1583"/>
    <w:rsid w:val="00D00EDC"/>
    <w:rsid w:val="00D03E2C"/>
    <w:rsid w:val="00D236E4"/>
    <w:rsid w:val="00D613C1"/>
    <w:rsid w:val="00D8227B"/>
    <w:rsid w:val="00DA57B3"/>
    <w:rsid w:val="00DF3083"/>
    <w:rsid w:val="00DF6DC1"/>
    <w:rsid w:val="00DF7AA6"/>
    <w:rsid w:val="00E00A3F"/>
    <w:rsid w:val="00E15247"/>
    <w:rsid w:val="00E2226A"/>
    <w:rsid w:val="00E35145"/>
    <w:rsid w:val="00E52C9B"/>
    <w:rsid w:val="00E67C16"/>
    <w:rsid w:val="00E77328"/>
    <w:rsid w:val="00E80D5E"/>
    <w:rsid w:val="00E86B19"/>
    <w:rsid w:val="00E947EF"/>
    <w:rsid w:val="00EA275B"/>
    <w:rsid w:val="00EB69C8"/>
    <w:rsid w:val="00EC66DE"/>
    <w:rsid w:val="00EF13DE"/>
    <w:rsid w:val="00EF2FC1"/>
    <w:rsid w:val="00EF4993"/>
    <w:rsid w:val="00F211A8"/>
    <w:rsid w:val="00F233D5"/>
    <w:rsid w:val="00F25532"/>
    <w:rsid w:val="00F866D8"/>
    <w:rsid w:val="00F939A7"/>
    <w:rsid w:val="00FA4318"/>
    <w:rsid w:val="261BBAE2"/>
    <w:rsid w:val="30B6601B"/>
    <w:rsid w:val="617E6339"/>
    <w:rsid w:val="76929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E038"/>
  <w15:docId w15:val="{A49D6717-6C05-4423-8207-7847108E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2C7C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40D0F"/>
    <w:pPr>
      <w:ind w:left="720"/>
      <w:contextualSpacing/>
    </w:pPr>
  </w:style>
  <w:style w:type="table" w:customStyle="1" w:styleId="GridTable6Colorful-Accent21">
    <w:name w:val="Grid Table 6 Colorful - Accent 21"/>
    <w:basedOn w:val="TableNormal"/>
    <w:uiPriority w:val="51"/>
    <w:rsid w:val="00EF13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A00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D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6" ma:contentTypeDescription="Create a new document." ma:contentTypeScope="" ma:versionID="436e3694ff20e4b07db18ff61a83a46d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5bb308e7c7b55ac6458519121fc51ecd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  <SharedWithUsers xmlns="0ef140f4-570a-4eb7-8faf-386eec47e56b">
      <UserInfo>
        <DisplayName>Louise Clarkson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60B23F-C8C3-4F1E-95E8-448019A10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7CFDF-1B44-482F-962C-FCC82CE03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983BA-DE70-47E5-A83D-8DE7C3609770}">
  <ds:schemaRefs>
    <ds:schemaRef ds:uri="http://schemas.microsoft.com/office/2006/metadata/properties"/>
    <ds:schemaRef ds:uri="http://schemas.microsoft.com/office/infopath/2007/PartnerControls"/>
    <ds:schemaRef ds:uri="e288f5a7-cb67-445c-ba59-715eb3ba7542"/>
    <ds:schemaRef ds:uri="0ef140f4-570a-4eb7-8faf-386eec47e5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Lane</dc:creator>
  <cp:keywords/>
  <dc:description/>
  <cp:lastModifiedBy>Claire Neale</cp:lastModifiedBy>
  <cp:revision>33</cp:revision>
  <dcterms:created xsi:type="dcterms:W3CDTF">2020-05-04T14:21:00Z</dcterms:created>
  <dcterms:modified xsi:type="dcterms:W3CDTF">2022-03-04T11:12:00Z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MediaServiceImageTags">
    <vt:lpwstr/>
  </property>
</Properties>
</file>